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9" w:lineRule="exact"/>
        <w:jc w:val="center"/>
        <w:rPr>
          <w:rFonts w:ascii="Times New Roman" w:hAnsi="Times New Roman" w:eastAsia="黑体"/>
          <w:sz w:val="30"/>
          <w:szCs w:val="30"/>
          <w:highlight w:val="none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highlight w:val="none"/>
        </w:rPr>
        <w:t>浙江省工程研究中心申请报告编制提纲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一、摘要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二、建设背景及必要性（简述）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1．国内外技术和产业发展状况、趋势与市场分析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2．本领域当前急待解决的关键技术问题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3．本领域成果转化与产业化存在的主要问题及原因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4．建设工程研究中心的意义与作用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三、申报单位概况和建设条件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1．申报单位概况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2．拟工程化、产业化的重要科研成果及其水平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3．与工程研究中心建设相关的现有基础条件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四、主要任务与目标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1．工程研究中心的主要发展方向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2．工程研究中心的主要任务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3．工程研究中心的发展战略与经营思路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4．工程研究中心的中长期目标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五、管理与运行机制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1．工程研究中心的机构设置与职责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2．工程研究中心的运行机制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六、建设方案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1．规模与建设地点（包括技术方案、设备方案和工程方案）</w:t>
      </w:r>
    </w:p>
    <w:p>
      <w:pPr>
        <w:spacing w:line="579" w:lineRule="exac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　　2．实施进度与管理</w:t>
      </w:r>
    </w:p>
    <w:p>
      <w:pPr>
        <w:spacing w:line="579" w:lineRule="exac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　　3．投资估算及资金筹措方案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七、经济和社会效益初步分析</w:t>
      </w:r>
    </w:p>
    <w:p>
      <w:pPr>
        <w:snapToGrid w:val="0"/>
        <w:spacing w:line="579" w:lineRule="exact"/>
        <w:ind w:firstLine="576" w:firstLineChars="180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八、附件</w:t>
      </w:r>
    </w:p>
    <w:p>
      <w:pPr>
        <w:snapToGrid w:val="0"/>
        <w:spacing w:line="579" w:lineRule="exact"/>
        <w:ind w:left="54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1．工程</w:t>
      </w:r>
      <w:r>
        <w:rPr>
          <w:rFonts w:ascii="Times New Roman" w:hAnsi="Times New Roman" w:eastAsia="仿宋_GB2312"/>
          <w:sz w:val="32"/>
          <w:szCs w:val="32"/>
          <w:highlight w:val="none"/>
        </w:rPr>
        <w:t>研究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中心法人营业执照或申报单位法人营业执照</w:t>
      </w:r>
    </w:p>
    <w:p>
      <w:pPr>
        <w:snapToGrid w:val="0"/>
        <w:spacing w:line="579" w:lineRule="exact"/>
        <w:ind w:left="54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2．工程</w:t>
      </w:r>
      <w:r>
        <w:rPr>
          <w:rFonts w:ascii="Times New Roman" w:hAnsi="Times New Roman" w:eastAsia="仿宋_GB2312"/>
          <w:sz w:val="32"/>
          <w:szCs w:val="32"/>
          <w:highlight w:val="none"/>
        </w:rPr>
        <w:t>研究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中心章程</w:t>
      </w:r>
    </w:p>
    <w:p>
      <w:pPr>
        <w:snapToGrid w:val="0"/>
        <w:spacing w:line="579" w:lineRule="exact"/>
        <w:ind w:left="54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3．前期科技成果证明文件</w:t>
      </w:r>
    </w:p>
    <w:p>
      <w:pPr>
        <w:snapToGrid w:val="0"/>
        <w:spacing w:line="579" w:lineRule="exact"/>
        <w:ind w:left="54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4．其它配套证明文件等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KW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BF9AA0"/>
    <w:rsid w:val="9BBF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Office_1.2.0.1574_F1E327BC-269C-435d-A152-05C5408002CA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2021-06-25T10:11:00Z</dcterms:created>
  <dc:creator>chanvictor</dc:creator>
  <cp:lastModifiedBy>chanvictor</cp:lastModifiedBy>
  <dcterms:modified xsi:type="dcterms:W3CDTF">2021-06-25T10:11:27Z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